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bookmarkStart w:id="0" w:name="_GoBack"/>
      <w:bookmarkEnd w:id="0"/>
    </w:p>
    <w:p>
      <w:pPr>
        <w:ind w:firstLine="280" w:firstLineChars="100"/>
        <w:rPr>
          <w:rFonts w:ascii="仿宋" w:hAnsi="仿宋" w:eastAsia="仿宋"/>
          <w:sz w:val="28"/>
          <w:szCs w:val="28"/>
        </w:rPr>
      </w:pPr>
    </w:p>
    <w:p>
      <w:pPr>
        <w:ind w:firstLine="280" w:firstLineChars="10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w:t>
      </w:r>
    </w:p>
    <w:tbl>
      <w:tblPr>
        <w:tblStyle w:val="6"/>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vAlign w:val="center"/>
          </w:tcPr>
          <w:p>
            <w:pPr>
              <w:widowControl/>
              <w:jc w:val="center"/>
              <w:rPr>
                <w:rFonts w:ascii="仿宋" w:hAnsi="仿宋" w:eastAsia="仿宋" w:cs="Arial"/>
                <w:b/>
                <w:bCs/>
                <w:sz w:val="30"/>
                <w:szCs w:val="30"/>
              </w:rPr>
            </w:pPr>
            <w:r>
              <w:rPr>
                <w:rFonts w:hint="eastAsia" w:ascii="仿宋" w:hAnsi="仿宋" w:eastAsia="仿宋" w:cs="Arial"/>
                <w:b/>
                <w:bCs/>
                <w:sz w:val="30"/>
                <w:szCs w:val="30"/>
              </w:rPr>
              <w:t xml:space="preserve">遵义医学院关于开展2018年度硕士研究生导师遴选工作的通知 </w:t>
            </w:r>
          </w:p>
        </w:tc>
      </w:tr>
      <w:tr>
        <w:tblPrEx>
          <w:tblLayout w:type="fixed"/>
          <w:tblCellMar>
            <w:top w:w="0" w:type="dxa"/>
            <w:left w:w="0" w:type="dxa"/>
            <w:bottom w:w="0" w:type="dxa"/>
            <w:right w:w="0" w:type="dxa"/>
          </w:tblCellMar>
        </w:tblPrEx>
        <w:trPr>
          <w:trHeight w:val="450" w:hRule="atLeast"/>
          <w:tblCellSpacing w:w="0" w:type="dxa"/>
        </w:trPr>
        <w:tc>
          <w:tcPr>
            <w:tcW w:w="8306" w:type="dxa"/>
            <w:vAlign w:val="center"/>
          </w:tcPr>
          <w:p>
            <w:pPr>
              <w:jc w:val="center"/>
              <w:rPr>
                <w:rFonts w:hint="eastAsia" w:cs="Arial"/>
                <w:sz w:val="18"/>
                <w:szCs w:val="18"/>
              </w:rPr>
            </w:pPr>
          </w:p>
        </w:tc>
      </w:tr>
      <w:tr>
        <w:tblPrEx>
          <w:tblLayout w:type="fixed"/>
          <w:tblCellMar>
            <w:top w:w="0" w:type="dxa"/>
            <w:left w:w="0" w:type="dxa"/>
            <w:bottom w:w="0" w:type="dxa"/>
            <w:right w:w="0" w:type="dxa"/>
          </w:tblCellMar>
        </w:tblPrEx>
        <w:trPr>
          <w:tblCellSpacing w:w="0" w:type="dxa"/>
        </w:trPr>
        <w:tc>
          <w:tcPr>
            <w:tcW w:w="8306" w:type="dxa"/>
            <w:vAlign w:val="center"/>
          </w:tcPr>
          <w:p>
            <w:pPr>
              <w:jc w:val="center"/>
              <w:rPr>
                <w:rFonts w:hint="eastAsia" w:cs="Arial"/>
                <w:sz w:val="18"/>
                <w:szCs w:val="18"/>
              </w:rPr>
            </w:pPr>
          </w:p>
        </w:tc>
      </w:tr>
      <w:tr>
        <w:tblPrEx>
          <w:tblLayout w:type="fixed"/>
          <w:tblCellMar>
            <w:top w:w="0" w:type="dxa"/>
            <w:left w:w="0" w:type="dxa"/>
            <w:bottom w:w="0" w:type="dxa"/>
            <w:right w:w="0" w:type="dxa"/>
          </w:tblCellMar>
        </w:tblPrEx>
        <w:trPr>
          <w:tblCellSpacing w:w="0" w:type="dxa"/>
        </w:trPr>
        <w:tc>
          <w:tcPr>
            <w:tcW w:w="8306" w:type="dxa"/>
            <w:vAlign w:val="center"/>
          </w:tcPr>
          <w:p>
            <w:pPr>
              <w:spacing w:line="360" w:lineRule="auto"/>
              <w:rPr>
                <w:rFonts w:ascii="宋体" w:hAnsi="宋体" w:eastAsia="宋体" w:cs="Arial"/>
                <w:sz w:val="18"/>
                <w:szCs w:val="18"/>
              </w:rPr>
            </w:pPr>
          </w:p>
          <w:p>
            <w:pPr>
              <w:spacing w:line="360" w:lineRule="auto"/>
              <w:rPr>
                <w:rFonts w:hint="eastAsia" w:cs="Arial"/>
                <w:sz w:val="18"/>
                <w:szCs w:val="18"/>
              </w:rPr>
            </w:pPr>
            <w:r>
              <w:rPr>
                <w:rFonts w:hint="eastAsia" w:ascii="华文仿宋" w:hAnsi="华文仿宋" w:eastAsia="华文仿宋" w:cs="Arial"/>
                <w:sz w:val="32"/>
                <w:szCs w:val="32"/>
              </w:rPr>
              <w:t>各单位、各部门：</w:t>
            </w:r>
          </w:p>
          <w:p>
            <w:pPr>
              <w:spacing w:line="360" w:lineRule="auto"/>
              <w:rPr>
                <w:rFonts w:hint="eastAsia" w:cs="Arial"/>
                <w:sz w:val="18"/>
                <w:szCs w:val="18"/>
              </w:rPr>
            </w:pPr>
            <w:r>
              <w:rPr>
                <w:rFonts w:hint="eastAsia" w:ascii="华文仿宋" w:hAnsi="华文仿宋" w:eastAsia="华文仿宋" w:cs="Arial"/>
                <w:sz w:val="32"/>
                <w:szCs w:val="32"/>
              </w:rPr>
              <w:t xml:space="preserve">    为加强我校硕士研究生导师队伍建设，补充导师力量，提高我校研究生培养质量，经学校研究决定，开展2018年硕士研究生导师遴选工作，具体事宜通知如下。</w:t>
            </w:r>
          </w:p>
          <w:p>
            <w:pPr>
              <w:spacing w:line="360" w:lineRule="auto"/>
              <w:ind w:firstLine="645"/>
              <w:rPr>
                <w:rFonts w:hint="eastAsia" w:cs="Arial"/>
                <w:sz w:val="18"/>
                <w:szCs w:val="18"/>
              </w:rPr>
            </w:pPr>
            <w:r>
              <w:rPr>
                <w:rStyle w:val="4"/>
                <w:rFonts w:hint="eastAsia" w:ascii="华文仿宋" w:hAnsi="华文仿宋" w:eastAsia="华文仿宋" w:cs="Arial"/>
                <w:sz w:val="32"/>
                <w:szCs w:val="32"/>
              </w:rPr>
              <w:t>一、遴选范围</w:t>
            </w:r>
          </w:p>
          <w:p>
            <w:pPr>
              <w:spacing w:line="360" w:lineRule="auto"/>
              <w:ind w:firstLine="645"/>
              <w:rPr>
                <w:rFonts w:hint="eastAsia" w:cs="Arial"/>
                <w:sz w:val="18"/>
                <w:szCs w:val="18"/>
              </w:rPr>
            </w:pPr>
            <w:r>
              <w:rPr>
                <w:rFonts w:hint="eastAsia" w:ascii="华文仿宋" w:hAnsi="华文仿宋" w:eastAsia="华文仿宋" w:cs="Arial"/>
                <w:sz w:val="32"/>
                <w:szCs w:val="32"/>
              </w:rPr>
              <w:t>1. 根据“遵义医学院研究生导师遴选办法”（2014年修订，见附件1）相关规定，对照我校2018年度设置的各招收硕士研究生学科范围（见附件2），符合导师资格申报基本条件的校内及联合培养单位人员。</w:t>
            </w:r>
          </w:p>
          <w:p>
            <w:pPr>
              <w:spacing w:line="360" w:lineRule="auto"/>
              <w:ind w:firstLine="645"/>
              <w:rPr>
                <w:rFonts w:hint="eastAsia" w:cs="Arial"/>
                <w:sz w:val="18"/>
                <w:szCs w:val="18"/>
              </w:rPr>
            </w:pPr>
            <w:r>
              <w:rPr>
                <w:rFonts w:hint="eastAsia" w:ascii="华文仿宋" w:hAnsi="华文仿宋" w:eastAsia="华文仿宋" w:cs="Arial"/>
                <w:sz w:val="32"/>
                <w:szCs w:val="32"/>
              </w:rPr>
              <w:t>2. 对近两年经学校研究生招生工作领导小组审核批准，已获得招收硕士研究生资格，但尚未参加研究生导师遴选的人员，须进行导师资格的审核备案。</w:t>
            </w:r>
          </w:p>
          <w:p>
            <w:pPr>
              <w:spacing w:line="360" w:lineRule="auto"/>
              <w:ind w:firstLine="645"/>
              <w:rPr>
                <w:rFonts w:hint="eastAsia" w:cs="Arial"/>
                <w:sz w:val="18"/>
                <w:szCs w:val="18"/>
              </w:rPr>
            </w:pPr>
            <w:r>
              <w:rPr>
                <w:rFonts w:hint="eastAsia" w:ascii="华文仿宋" w:hAnsi="华文仿宋" w:eastAsia="华文仿宋" w:cs="Arial"/>
                <w:sz w:val="32"/>
                <w:szCs w:val="32"/>
              </w:rPr>
              <w:t>3. 2015-2018年间跨学科招收硕士研究生者，如拟继续跨学科招生，须重新申请该学科导师资格的审核备案。</w:t>
            </w:r>
          </w:p>
          <w:p>
            <w:pPr>
              <w:spacing w:line="360" w:lineRule="auto"/>
              <w:ind w:firstLine="645"/>
              <w:rPr>
                <w:rFonts w:hint="eastAsia" w:cs="Arial"/>
                <w:sz w:val="18"/>
                <w:szCs w:val="18"/>
              </w:rPr>
            </w:pPr>
            <w:r>
              <w:rPr>
                <w:rStyle w:val="4"/>
                <w:rFonts w:hint="eastAsia" w:ascii="华文仿宋" w:hAnsi="华文仿宋" w:eastAsia="华文仿宋" w:cs="Arial"/>
                <w:sz w:val="32"/>
                <w:szCs w:val="32"/>
              </w:rPr>
              <w:t>二、工作程序</w:t>
            </w:r>
          </w:p>
          <w:p>
            <w:pPr>
              <w:spacing w:line="360" w:lineRule="auto"/>
              <w:ind w:firstLine="630"/>
              <w:rPr>
                <w:rFonts w:hint="eastAsia" w:cs="Arial"/>
                <w:sz w:val="18"/>
                <w:szCs w:val="18"/>
              </w:rPr>
            </w:pPr>
            <w:r>
              <w:rPr>
                <w:rFonts w:hint="eastAsia" w:ascii="华文仿宋" w:hAnsi="华文仿宋" w:eastAsia="华文仿宋" w:cs="Arial"/>
                <w:sz w:val="32"/>
                <w:szCs w:val="32"/>
              </w:rPr>
              <w:t>1. 尚未获得研究生招生资格须填写《遵义医学院硕士生指导教师资格申请表》；经学校研究生招生工作领导小组审核批准已获得指导研究生资格但尚未参加导师遴选者和拟继续申请跨学科招收研究生者均须填写《遵义医学院硕士生指导教师资格审核备案表》。所有申请人同时按本通知要求准备好附件支撑材料，交所在教研室或科室审核（联合培养单位直接交所在医院研究生管理部门审核）；</w:t>
            </w:r>
          </w:p>
          <w:p>
            <w:pPr>
              <w:spacing w:line="360" w:lineRule="auto"/>
              <w:rPr>
                <w:rFonts w:hint="eastAsia" w:cs="Arial"/>
                <w:sz w:val="18"/>
                <w:szCs w:val="18"/>
              </w:rPr>
            </w:pPr>
            <w:r>
              <w:rPr>
                <w:rFonts w:hint="eastAsia" w:ascii="华文仿宋" w:hAnsi="华文仿宋" w:eastAsia="华文仿宋" w:cs="Arial"/>
                <w:sz w:val="32"/>
                <w:szCs w:val="32"/>
              </w:rPr>
              <w:t xml:space="preserve">    2. 申请人材料经所在教研室或科室审核通过后，报送到拟申请的硕士学位授权学科进行统一审查（联合培养单位申报材料按学科分配相应的硕士学位评定分委员会进行审核）；</w:t>
            </w:r>
          </w:p>
          <w:p>
            <w:pPr>
              <w:spacing w:line="360" w:lineRule="auto"/>
              <w:rPr>
                <w:rFonts w:hint="eastAsia" w:cs="Arial"/>
                <w:sz w:val="18"/>
                <w:szCs w:val="18"/>
              </w:rPr>
            </w:pPr>
            <w:r>
              <w:rPr>
                <w:rFonts w:hint="eastAsia" w:ascii="华文仿宋" w:hAnsi="华文仿宋" w:eastAsia="华文仿宋" w:cs="Arial"/>
                <w:sz w:val="32"/>
                <w:szCs w:val="32"/>
              </w:rPr>
              <w:t xml:space="preserve">    3. 各硕士学位授权学科经讨论、通过后，将申请材料统一报送到拟申请学科所在院（系）学位评定分委员会进行审核；</w:t>
            </w:r>
          </w:p>
          <w:p>
            <w:pPr>
              <w:spacing w:line="360" w:lineRule="auto"/>
              <w:rPr>
                <w:rFonts w:hint="eastAsia" w:cs="Arial"/>
                <w:sz w:val="18"/>
                <w:szCs w:val="18"/>
              </w:rPr>
            </w:pPr>
            <w:r>
              <w:rPr>
                <w:rFonts w:hint="eastAsia" w:ascii="华文仿宋" w:hAnsi="华文仿宋" w:eastAsia="华文仿宋" w:cs="Arial"/>
                <w:sz w:val="32"/>
                <w:szCs w:val="32"/>
              </w:rPr>
              <w:t xml:space="preserve">    4. 院（系）学位评定分委员会须严格按照《遵义医学院研究生导师遴选办法(修订)》规定的导师遴选条件和要求，在核实申请人材料真实性后进行认真评审，经无记名投票表决，同意票数达到分委员会总人数2/3以上为通过；</w:t>
            </w:r>
          </w:p>
          <w:p>
            <w:pPr>
              <w:spacing w:line="360" w:lineRule="auto"/>
              <w:rPr>
                <w:rFonts w:hint="eastAsia" w:cs="Arial"/>
                <w:sz w:val="18"/>
                <w:szCs w:val="18"/>
              </w:rPr>
            </w:pPr>
            <w:r>
              <w:rPr>
                <w:rFonts w:hint="eastAsia" w:ascii="华文仿宋" w:hAnsi="华文仿宋" w:eastAsia="华文仿宋" w:cs="Arial"/>
                <w:sz w:val="32"/>
                <w:szCs w:val="32"/>
              </w:rPr>
              <w:t xml:space="preserve">    5. 院（系）学位评定分委员会将初审结果及申请人情况汇总表在二级学院范围内公示3天，无异议后将评审通过人员名单及材料，按要求报送到研究生院；</w:t>
            </w:r>
          </w:p>
          <w:p>
            <w:pPr>
              <w:spacing w:line="360" w:lineRule="auto"/>
              <w:rPr>
                <w:rFonts w:hint="eastAsia" w:cs="Arial"/>
                <w:sz w:val="18"/>
                <w:szCs w:val="18"/>
              </w:rPr>
            </w:pPr>
            <w:r>
              <w:rPr>
                <w:rFonts w:hint="eastAsia" w:ascii="华文仿宋" w:hAnsi="华文仿宋" w:eastAsia="华文仿宋" w:cs="Arial"/>
                <w:sz w:val="32"/>
                <w:szCs w:val="32"/>
              </w:rPr>
              <w:t xml:space="preserve">    6. 研究生院汇总各学位评定分委员会申请材料后，提交学校学位评定委员会进行审议和表决，确定获得导师资格人员名单；</w:t>
            </w:r>
          </w:p>
          <w:p>
            <w:pPr>
              <w:spacing w:line="360" w:lineRule="auto"/>
              <w:ind w:firstLine="630"/>
              <w:rPr>
                <w:rFonts w:hint="eastAsia" w:cs="Arial"/>
                <w:sz w:val="18"/>
                <w:szCs w:val="18"/>
              </w:rPr>
            </w:pPr>
            <w:r>
              <w:rPr>
                <w:rFonts w:hint="eastAsia" w:ascii="华文仿宋" w:hAnsi="华文仿宋" w:eastAsia="华文仿宋" w:cs="Arial"/>
                <w:sz w:val="32"/>
                <w:szCs w:val="32"/>
              </w:rPr>
              <w:t>7. 学校将评审通过的新增导师人员名单进行公示，公示时间为7天。公示期内受理个人或集体对审定工作过程或结果的异议。</w:t>
            </w:r>
          </w:p>
          <w:p>
            <w:pPr>
              <w:spacing w:line="360" w:lineRule="auto"/>
              <w:rPr>
                <w:rFonts w:hint="eastAsia" w:cs="Arial"/>
                <w:sz w:val="18"/>
                <w:szCs w:val="18"/>
              </w:rPr>
            </w:pPr>
            <w:r>
              <w:rPr>
                <w:rFonts w:hint="eastAsia" w:ascii="华文仿宋" w:hAnsi="华文仿宋" w:eastAsia="华文仿宋" w:cs="Arial"/>
                <w:sz w:val="32"/>
                <w:szCs w:val="32"/>
              </w:rPr>
              <w:t xml:space="preserve">    </w:t>
            </w:r>
            <w:r>
              <w:rPr>
                <w:rStyle w:val="4"/>
                <w:rFonts w:hint="eastAsia" w:ascii="华文仿宋" w:hAnsi="华文仿宋" w:eastAsia="华文仿宋" w:cs="Arial"/>
                <w:sz w:val="32"/>
                <w:szCs w:val="32"/>
              </w:rPr>
              <w:t>二、组织实施</w:t>
            </w:r>
          </w:p>
          <w:p>
            <w:pPr>
              <w:spacing w:line="360" w:lineRule="auto"/>
              <w:rPr>
                <w:rFonts w:hint="eastAsia" w:cs="Arial"/>
                <w:sz w:val="18"/>
                <w:szCs w:val="18"/>
              </w:rPr>
            </w:pPr>
            <w:r>
              <w:rPr>
                <w:rFonts w:hint="eastAsia" w:ascii="华文仿宋" w:hAnsi="华文仿宋" w:eastAsia="华文仿宋" w:cs="Arial"/>
                <w:sz w:val="32"/>
                <w:szCs w:val="32"/>
              </w:rPr>
              <w:t xml:space="preserve">    硕士生指导教师遴选工作由各院（系）学位评定分委员会严格按照学校相关文件规定与要求组织实施。与学校正式签定有联合培养研究生工作协议的校外单位或实践基地，由相关职能科室组织符合条件的申请人填写《遵义医学院硕士生指导教师申请表》或《遵义医学院硕士生指导教师资格审核备案表》；在核实申请人材料的真实性并组织有关学科专家进行认真评审后，汇总初审通过人员材料直接报送研究生院学位科。</w:t>
            </w:r>
          </w:p>
          <w:p>
            <w:pPr>
              <w:spacing w:line="360" w:lineRule="auto"/>
              <w:rPr>
                <w:rFonts w:hint="eastAsia" w:cs="Arial"/>
                <w:sz w:val="18"/>
                <w:szCs w:val="18"/>
              </w:rPr>
            </w:pPr>
            <w:r>
              <w:rPr>
                <w:rFonts w:hint="eastAsia" w:ascii="华文仿宋" w:hAnsi="华文仿宋" w:eastAsia="华文仿宋" w:cs="Arial"/>
                <w:sz w:val="32"/>
                <w:szCs w:val="32"/>
              </w:rPr>
              <w:t xml:space="preserve">   </w:t>
            </w:r>
            <w:r>
              <w:rPr>
                <w:rStyle w:val="4"/>
                <w:rFonts w:hint="eastAsia" w:ascii="华文仿宋" w:hAnsi="华文仿宋" w:eastAsia="华文仿宋" w:cs="Arial"/>
                <w:sz w:val="32"/>
                <w:szCs w:val="32"/>
              </w:rPr>
              <w:t xml:space="preserve"> 三、时间安排</w:t>
            </w:r>
          </w:p>
          <w:p>
            <w:pPr>
              <w:spacing w:line="360" w:lineRule="auto"/>
              <w:rPr>
                <w:rFonts w:hint="eastAsia" w:cs="Arial"/>
                <w:sz w:val="18"/>
                <w:szCs w:val="18"/>
              </w:rPr>
            </w:pPr>
            <w:r>
              <w:rPr>
                <w:rFonts w:hint="eastAsia" w:ascii="华文仿宋" w:hAnsi="华文仿宋" w:eastAsia="华文仿宋" w:cs="Arial"/>
                <w:sz w:val="32"/>
                <w:szCs w:val="32"/>
              </w:rPr>
              <w:t xml:space="preserve">    1.  4月20日前，各二级院（系）及联合培养单位组织符合条件的教师申报；</w:t>
            </w:r>
          </w:p>
          <w:p>
            <w:pPr>
              <w:spacing w:line="360" w:lineRule="auto"/>
              <w:rPr>
                <w:rFonts w:hint="eastAsia" w:cs="Arial"/>
                <w:sz w:val="18"/>
                <w:szCs w:val="18"/>
              </w:rPr>
            </w:pPr>
            <w:r>
              <w:rPr>
                <w:rFonts w:hint="eastAsia" w:ascii="华文仿宋" w:hAnsi="华文仿宋" w:eastAsia="华文仿宋" w:cs="Arial"/>
                <w:sz w:val="32"/>
                <w:szCs w:val="32"/>
              </w:rPr>
              <w:t xml:space="preserve">    2.  4月30日前，各二级院（系）学位评定分委员会组织初审，并按要求公示初审结果及有关材料；</w:t>
            </w:r>
          </w:p>
          <w:p>
            <w:pPr>
              <w:spacing w:line="360" w:lineRule="auto"/>
              <w:rPr>
                <w:rFonts w:hint="eastAsia" w:cs="Arial"/>
                <w:sz w:val="18"/>
                <w:szCs w:val="18"/>
              </w:rPr>
            </w:pPr>
            <w:r>
              <w:rPr>
                <w:rFonts w:hint="eastAsia" w:ascii="华文仿宋" w:hAnsi="华文仿宋" w:eastAsia="华文仿宋" w:cs="Arial"/>
                <w:sz w:val="32"/>
                <w:szCs w:val="32"/>
              </w:rPr>
              <w:t xml:space="preserve">    3.  5月10日前，各硕士学位评定分委员会按要求报送材料到研究生院学位科；</w:t>
            </w:r>
          </w:p>
          <w:p>
            <w:pPr>
              <w:spacing w:line="360" w:lineRule="auto"/>
              <w:rPr>
                <w:rFonts w:hint="eastAsia" w:cs="Arial"/>
                <w:sz w:val="18"/>
                <w:szCs w:val="18"/>
              </w:rPr>
            </w:pPr>
            <w:r>
              <w:rPr>
                <w:rFonts w:hint="eastAsia" w:ascii="华文仿宋" w:hAnsi="华文仿宋" w:eastAsia="华文仿宋" w:cs="Arial"/>
                <w:sz w:val="32"/>
                <w:szCs w:val="32"/>
              </w:rPr>
              <w:t xml:space="preserve">    4.  5月20日前，研究生院组织开展复审，经校学位评定委员会会议审核后报学校批准公布。</w:t>
            </w:r>
          </w:p>
          <w:p>
            <w:pPr>
              <w:spacing w:line="360" w:lineRule="auto"/>
              <w:rPr>
                <w:rFonts w:hint="eastAsia" w:cs="Arial"/>
                <w:sz w:val="18"/>
                <w:szCs w:val="18"/>
              </w:rPr>
            </w:pPr>
            <w:r>
              <w:rPr>
                <w:rFonts w:hint="eastAsia" w:ascii="华文仿宋" w:hAnsi="华文仿宋" w:eastAsia="华文仿宋" w:cs="Arial"/>
                <w:sz w:val="32"/>
                <w:szCs w:val="32"/>
              </w:rPr>
              <w:t xml:space="preserve">    </w:t>
            </w:r>
            <w:r>
              <w:rPr>
                <w:rStyle w:val="4"/>
                <w:rFonts w:hint="eastAsia" w:ascii="华文仿宋" w:hAnsi="华文仿宋" w:eastAsia="华文仿宋" w:cs="Arial"/>
                <w:sz w:val="32"/>
                <w:szCs w:val="32"/>
              </w:rPr>
              <w:t>四、材料报送</w:t>
            </w:r>
          </w:p>
          <w:p>
            <w:pPr>
              <w:spacing w:line="360" w:lineRule="auto"/>
              <w:rPr>
                <w:rFonts w:hint="eastAsia" w:cs="Arial"/>
                <w:sz w:val="18"/>
                <w:szCs w:val="18"/>
              </w:rPr>
            </w:pPr>
            <w:r>
              <w:rPr>
                <w:rFonts w:hint="eastAsia" w:ascii="华文仿宋" w:hAnsi="华文仿宋" w:eastAsia="华文仿宋" w:cs="Arial"/>
                <w:sz w:val="32"/>
                <w:szCs w:val="32"/>
              </w:rPr>
              <w:t xml:space="preserve">    1. 申请人须准备好《遵义医学院硕士生指导教师申请表》或《遵义医学院硕士生指导教师资格审核备案表》（见附件3和4）及附件材料，并统一胶装订成1式2份。附件材料包括：毕业证书、学位证书复印件；专业技术职务资格证书及聘书复印件；近三年主持课题任务书封面；财务处出具当前可支配的科研经费证明（不含横向课题及配套经费）；发表论文首页复印件；出版专著或教材的首页及排名页；相关获奖（成果）证书复印件；论文收录检索证明（含申请表内所填写的核心和SCI、EI收录文章）；其他材料。</w:t>
            </w:r>
            <w:r>
              <w:rPr>
                <w:rStyle w:val="4"/>
                <w:rFonts w:hint="eastAsia" w:ascii="华文仿宋" w:hAnsi="华文仿宋" w:eastAsia="华文仿宋" w:cs="Arial"/>
                <w:sz w:val="32"/>
                <w:szCs w:val="32"/>
              </w:rPr>
              <w:t>附件支撑材料请按序整理并编列目录。</w:t>
            </w:r>
          </w:p>
          <w:p>
            <w:pPr>
              <w:spacing w:line="360" w:lineRule="auto"/>
              <w:rPr>
                <w:rFonts w:hint="eastAsia" w:cs="Arial"/>
                <w:sz w:val="18"/>
                <w:szCs w:val="18"/>
              </w:rPr>
            </w:pPr>
            <w:r>
              <w:rPr>
                <w:rFonts w:hint="eastAsia" w:ascii="华文仿宋" w:hAnsi="华文仿宋" w:eastAsia="华文仿宋" w:cs="Arial"/>
                <w:sz w:val="32"/>
                <w:szCs w:val="32"/>
              </w:rPr>
              <w:t xml:space="preserve">    2. </w:t>
            </w:r>
            <w:r>
              <w:rPr>
                <w:rStyle w:val="4"/>
                <w:rFonts w:hint="eastAsia" w:ascii="华文仿宋" w:hAnsi="华文仿宋" w:eastAsia="华文仿宋" w:cs="Arial"/>
                <w:sz w:val="32"/>
                <w:szCs w:val="32"/>
              </w:rPr>
              <w:t>各二级单位须对申报材料的真实性负责。</w:t>
            </w:r>
            <w:r>
              <w:rPr>
                <w:rFonts w:hint="eastAsia" w:ascii="华文仿宋" w:hAnsi="华文仿宋" w:eastAsia="华文仿宋" w:cs="Arial"/>
                <w:sz w:val="32"/>
                <w:szCs w:val="32"/>
              </w:rPr>
              <w:t>二级单位在对申请人员材料进行认真审查，并准确统计拟向学校推荐的人员情况后，填写《遵义医学院导师资格申请情况汇总表》或《遵义医学院导师资格审核备案情况汇总表》（见附件</w:t>
            </w:r>
            <w:r>
              <w:rPr>
                <w:rFonts w:hint="eastAsia" w:ascii="华文仿宋" w:hAnsi="华文仿宋" w:eastAsia="华文仿宋" w:cs="Arial"/>
                <w:color w:val="000000"/>
                <w:sz w:val="32"/>
                <w:szCs w:val="32"/>
              </w:rPr>
              <w:t>5、6</w:t>
            </w:r>
            <w:r>
              <w:rPr>
                <w:rFonts w:hint="eastAsia" w:ascii="华文仿宋" w:hAnsi="华文仿宋" w:eastAsia="华文仿宋" w:cs="Arial"/>
                <w:sz w:val="32"/>
                <w:szCs w:val="32"/>
              </w:rPr>
              <w:t>），交加盖公章的纸质版一份和电子版到研究生院学位科。导师遴选的有关文件和表格，可从本通知附件中下载或在遵义医学院研究生院网站上“下载中心”下载，统一用A4规格纸张双面打印、复印。</w:t>
            </w:r>
          </w:p>
          <w:p>
            <w:pPr>
              <w:spacing w:line="360" w:lineRule="auto"/>
              <w:ind w:firstLine="645"/>
              <w:rPr>
                <w:rFonts w:hint="eastAsia" w:cs="Arial"/>
                <w:sz w:val="18"/>
                <w:szCs w:val="18"/>
              </w:rPr>
            </w:pPr>
            <w:r>
              <w:rPr>
                <w:rStyle w:val="4"/>
                <w:rFonts w:hint="eastAsia" w:ascii="华文仿宋" w:hAnsi="华文仿宋" w:eastAsia="华文仿宋" w:cs="Arial"/>
                <w:sz w:val="32"/>
                <w:szCs w:val="32"/>
              </w:rPr>
              <w:t>五、注意事项</w:t>
            </w:r>
          </w:p>
          <w:p>
            <w:pPr>
              <w:spacing w:line="360" w:lineRule="auto"/>
              <w:rPr>
                <w:rFonts w:hint="eastAsia" w:cs="Arial"/>
                <w:sz w:val="18"/>
                <w:szCs w:val="18"/>
              </w:rPr>
            </w:pPr>
            <w:r>
              <w:rPr>
                <w:rFonts w:hint="eastAsia" w:ascii="华文仿宋" w:hAnsi="华文仿宋" w:eastAsia="华文仿宋" w:cs="Arial"/>
                <w:sz w:val="32"/>
                <w:szCs w:val="32"/>
              </w:rPr>
              <w:t xml:space="preserve">    1. 对于学校2017年新增列的生物工程、公共卫生与预防医学、生物学和药学（专业学位）一级学位点，其下属二级学位点导师资格申报另见通知。</w:t>
            </w:r>
          </w:p>
          <w:p>
            <w:pPr>
              <w:spacing w:line="360" w:lineRule="auto"/>
              <w:ind w:firstLine="640" w:firstLineChars="200"/>
              <w:rPr>
                <w:rFonts w:hint="eastAsia" w:cs="Arial"/>
                <w:sz w:val="18"/>
                <w:szCs w:val="18"/>
              </w:rPr>
            </w:pPr>
            <w:r>
              <w:rPr>
                <w:rFonts w:hint="eastAsia" w:ascii="华文仿宋" w:hAnsi="华文仿宋" w:eastAsia="华文仿宋" w:cs="Arial"/>
                <w:sz w:val="32"/>
                <w:szCs w:val="32"/>
              </w:rPr>
              <w:t>2. 在遴选导师时，除对申请人的业务水平进行严格审核外，各二级院（系）还要对申请人的品德修养、科学道德、教书育人等方面情况进行认真考核。</w:t>
            </w:r>
          </w:p>
          <w:p>
            <w:pPr>
              <w:spacing w:line="360" w:lineRule="auto"/>
              <w:ind w:firstLine="630"/>
              <w:rPr>
                <w:rFonts w:hint="eastAsia" w:cs="Arial"/>
                <w:sz w:val="18"/>
                <w:szCs w:val="18"/>
              </w:rPr>
            </w:pPr>
            <w:r>
              <w:rPr>
                <w:rFonts w:hint="eastAsia" w:ascii="华文仿宋" w:hAnsi="华文仿宋" w:eastAsia="华文仿宋" w:cs="Arial"/>
                <w:sz w:val="32"/>
                <w:szCs w:val="32"/>
              </w:rPr>
              <w:t>3. 凡近两年经学校研究生招生工作领导小组审核批准，已获得招收硕士研究生资格者（含独立指导或挂靠招生），均须参加此次导师资格审核备案。审核未通过者一律取消指导研究生资格，其目前所指导研究生由学校统一安排转相关学科符合条件的导师指导。</w:t>
            </w:r>
          </w:p>
          <w:p>
            <w:pPr>
              <w:spacing w:line="360" w:lineRule="auto"/>
              <w:ind w:firstLine="630"/>
              <w:rPr>
                <w:rFonts w:hint="eastAsia" w:cs="Arial"/>
                <w:sz w:val="18"/>
                <w:szCs w:val="18"/>
              </w:rPr>
            </w:pPr>
            <w:r>
              <w:rPr>
                <w:rFonts w:hint="eastAsia" w:ascii="华文仿宋" w:hAnsi="华文仿宋" w:eastAsia="华文仿宋" w:cs="Arial"/>
                <w:sz w:val="32"/>
                <w:szCs w:val="32"/>
              </w:rPr>
              <w:t>4. 凡近四年中（2015-2018年）已在原申报学科以外的1个及以上学科招收研究生者，如拟继续跨学科招收研究生者，须重新申请该学科的导师资格审核。审核未通过者一律取消跨学科指导研究生资格，从2019年起不得再进行跨学科招生。</w:t>
            </w:r>
          </w:p>
          <w:p>
            <w:pPr>
              <w:spacing w:line="360" w:lineRule="auto"/>
              <w:ind w:firstLine="630"/>
              <w:rPr>
                <w:rFonts w:hint="eastAsia" w:cs="Arial"/>
                <w:sz w:val="18"/>
                <w:szCs w:val="18"/>
              </w:rPr>
            </w:pPr>
            <w:r>
              <w:rPr>
                <w:rFonts w:hint="eastAsia" w:ascii="华文仿宋" w:hAnsi="华文仿宋" w:eastAsia="华文仿宋" w:cs="Arial"/>
                <w:sz w:val="32"/>
                <w:szCs w:val="32"/>
              </w:rPr>
              <w:t>5. 对不属于我校联合培养单位，但与我校本科教育有良好合作关系的教学实践基地的申请人，如确实在实践领域有丰富经验、或有助于校外实践基地建设，能提供良好的研究生培养条件，并能切实履行导师职责者，经二级院（系）学位分委员会推荐，可申报兼职专业学位指导教师资格。凡遴选为此类外聘导师者，须与我校签订《遵义医学院外聘研究生指导教师聘任协议》（一式三份），以落实好相关培养计划及任务，保证硕士生培养质量。</w:t>
            </w:r>
          </w:p>
          <w:p>
            <w:pPr>
              <w:spacing w:line="360" w:lineRule="auto"/>
              <w:ind w:firstLine="630"/>
              <w:rPr>
                <w:rFonts w:hint="eastAsia" w:cs="Arial"/>
                <w:sz w:val="18"/>
                <w:szCs w:val="18"/>
              </w:rPr>
            </w:pPr>
            <w:r>
              <w:rPr>
                <w:rFonts w:hint="eastAsia" w:ascii="华文仿宋" w:hAnsi="华文仿宋" w:eastAsia="华文仿宋" w:cs="Arial"/>
                <w:sz w:val="32"/>
                <w:szCs w:val="32"/>
              </w:rPr>
              <w:t>6. 为贯彻落实国家关于临床医学、口腔医学专业学位研究生与住院医师规培化培训并轨政策，对于部分研究生培养需求较大或急需扶持的学科领域，以及近年来学校新增的护理等专业学位硕士点，在申报专业学位硕士研究生导师时，可将科研基本要求适当放宽为：近3年主持过地厅级以上课题，本人主持的现有可支配经费达1万元以上，不包括横向课题及配套经费。</w:t>
            </w:r>
          </w:p>
          <w:p>
            <w:pPr>
              <w:spacing w:line="360" w:lineRule="auto"/>
              <w:rPr>
                <w:rFonts w:cs="Arial"/>
                <w:sz w:val="18"/>
                <w:szCs w:val="18"/>
              </w:rPr>
            </w:pPr>
            <w:r>
              <w:rPr>
                <w:rFonts w:hint="eastAsia" w:ascii="华文仿宋" w:hAnsi="华文仿宋" w:eastAsia="华文仿宋" w:cs="Arial"/>
                <w:sz w:val="32"/>
                <w:szCs w:val="32"/>
              </w:rPr>
              <w:t xml:space="preserve">    </w:t>
            </w:r>
          </w:p>
          <w:p>
            <w:pPr>
              <w:spacing w:line="360" w:lineRule="auto"/>
              <w:ind w:firstLine="630"/>
              <w:rPr>
                <w:rFonts w:hint="eastAsia" w:cs="Arial"/>
                <w:sz w:val="18"/>
                <w:szCs w:val="18"/>
              </w:rPr>
            </w:pPr>
          </w:p>
        </w:tc>
      </w:tr>
    </w:tbl>
    <w:p>
      <w:pPr>
        <w:ind w:firstLine="280" w:firstLineChars="100"/>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92"/>
    <w:rsid w:val="0047256C"/>
    <w:rsid w:val="005C1DFB"/>
    <w:rsid w:val="00715ACC"/>
    <w:rsid w:val="00873C2F"/>
    <w:rsid w:val="00C34392"/>
    <w:rsid w:val="00F87A45"/>
    <w:rsid w:val="69A9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character" w:styleId="4">
    <w:name w:val="Strong"/>
    <w:basedOn w:val="3"/>
    <w:qFormat/>
    <w:uiPriority w:val="22"/>
    <w:rPr>
      <w:b/>
      <w:bCs/>
    </w:rPr>
  </w:style>
  <w:style w:type="character" w:styleId="5">
    <w:name w:val="Hyperlink"/>
    <w:basedOn w:val="3"/>
    <w:unhideWhenUsed/>
    <w:qFormat/>
    <w:uiPriority w:val="99"/>
    <w:rPr>
      <w:color w:val="0563C1" w:themeColor="hyperlink"/>
      <w:u w:val="single"/>
      <w14:textFill>
        <w14:solidFill>
          <w14:schemeClr w14:val="hlink"/>
        </w14:solidFill>
      </w14:textFill>
    </w:rPr>
  </w:style>
  <w:style w:type="character" w:customStyle="1" w:styleId="7">
    <w:name w:val="日期 字符"/>
    <w:basedOn w:val="3"/>
    <w:link w:val="2"/>
    <w:semiHidden/>
    <w:qFormat/>
    <w:uiPriority w:val="99"/>
  </w:style>
  <w:style w:type="character" w:customStyle="1" w:styleId="8">
    <w:name w:val="timestyle455571"/>
    <w:basedOn w:val="3"/>
    <w:qFormat/>
    <w:uiPriority w:val="0"/>
    <w:rPr>
      <w:sz w:val="18"/>
      <w:szCs w:val="18"/>
    </w:rPr>
  </w:style>
  <w:style w:type="character" w:customStyle="1" w:styleId="9">
    <w:name w:val="authorstyle455571"/>
    <w:basedOn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445</Words>
  <Characters>2542</Characters>
  <Lines>21</Lines>
  <Paragraphs>5</Paragraphs>
  <TotalTime>0</TotalTime>
  <ScaleCrop>false</ScaleCrop>
  <LinksUpToDate>false</LinksUpToDate>
  <CharactersWithSpaces>2982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2018-04-18T00:42:00Z</dcterms:created>
  <dc:creator>Administrator</dc:creator>
  <cp:lastModifiedBy>包子de糖</cp:lastModifiedBy>
  <dcterms:modified xsi:type="dcterms:W3CDTF">2018-04-18T00:53:17Z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