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/>
          <w:bCs/>
          <w:szCs w:val="32"/>
        </w:rPr>
      </w:pPr>
      <w:bookmarkStart w:id="0" w:name="_GoBack"/>
      <w:bookmarkEnd w:id="0"/>
      <w:r>
        <w:rPr>
          <w:rFonts w:hint="eastAsia" w:ascii="黑体" w:hAnsi="黑体"/>
          <w:bCs/>
          <w:szCs w:val="32"/>
        </w:rPr>
        <w:t>患者猝死应急预案及处理流程</w:t>
      </w:r>
    </w:p>
    <w:p>
      <w:pPr>
        <w:autoSpaceDE w:val="0"/>
        <w:autoSpaceDN w:val="0"/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技术规范</w:t>
      </w:r>
      <w:r>
        <w:rPr>
          <w:rFonts w:hint="eastAsia" w:ascii="宋体" w:hAnsi="宋体" w:cs="宋体"/>
          <w:sz w:val="24"/>
          <w:szCs w:val="24"/>
        </w:rPr>
        <w:t>】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值班人员应严格遵守医院及科室各项规章制度，坚守岗位，定时巡视患者，尤其对新患者、危重患者、特殊病应按要求巡视，及早发现病情变化，尽快采取抢救措施。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急救物品做到“四定”，班班清点，同时检查急救物品性能，完好率达</w:t>
      </w:r>
      <w:r>
        <w:rPr>
          <w:rFonts w:ascii="宋体" w:hAnsi="宋体" w:cs="宋体"/>
          <w:sz w:val="24"/>
          <w:szCs w:val="24"/>
        </w:rPr>
        <w:t>100%</w:t>
      </w:r>
      <w:r>
        <w:rPr>
          <w:rFonts w:hint="eastAsia" w:ascii="宋体" w:hAnsi="宋体" w:cs="宋体"/>
          <w:sz w:val="24"/>
          <w:szCs w:val="24"/>
        </w:rPr>
        <w:t>，急用时可随时投入使用。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医护人员应熟练掌握心肺复苏流程，常用急救仪器性能、使用方法及注意事项。仪器及时充电，防止电池耗竭。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发现患者在病房内猝死，应迅速做出准确判断，第一发现者不要离开患者，应立即进行胸外心脏按压、人工呼吸等急救措施，同时请旁边的患者或家属帮助呼叫其他医务人员。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增援人员到达后，立即根据患者情况，依据本科室的心肺复苏抢救流程配合医生采取各项抢救措施。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抢救中应注意心、肺、脑复苏，开放静脉通路，必要时开放两条静脉通路。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发现患者在走廊、厕所等病房以外的环境发生猝死，迅速做出正确判断后，立即就地抢救，行胸外心脏按压、人工呼吸等急救措施，同时请旁边的患者或家属帮助呼叫其他医务人员。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其他医务人员到达后，按心肺复苏抢救流程迅速采取心肺复苏，根据病情及时将患者搬至病床上，搬运过程中不可间断抢救。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在抢救中，应注意随时清理环境，合理安排呼吸机、除颤仪、急救车等各种仪器的摆放位置，腾出空间，利于抢救。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参加抢救的各位人员应注意互相密切配合，有条不紊，严格查对，及时做好各项记录，并认真做好与家属的沟通、安慰等心理护理工作。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在抢救过程中，要注意对同室患者进行保护。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按《医疗事故处理条例》规定，在抢救结束后</w:t>
      </w:r>
      <w:r>
        <w:rPr>
          <w:rFonts w:ascii="宋体" w:hAnsi="宋体" w:cs="宋体"/>
          <w:sz w:val="24"/>
          <w:szCs w:val="24"/>
        </w:rPr>
        <w:t xml:space="preserve">6h </w:t>
      </w:r>
      <w:r>
        <w:rPr>
          <w:rFonts w:hint="eastAsia" w:ascii="宋体" w:hAnsi="宋体" w:cs="宋体"/>
          <w:sz w:val="24"/>
          <w:szCs w:val="24"/>
        </w:rPr>
        <w:t>内，据实、准确地记录抢救过程。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抢救无效死亡者，协助家属将尸体运走。</w:t>
      </w:r>
    </w:p>
    <w:p>
      <w:pPr>
        <w:numPr>
          <w:ilvl w:val="0"/>
          <w:numId w:val="1"/>
        </w:numPr>
        <w:tabs>
          <w:tab w:val="left" w:pos="426"/>
          <w:tab w:val="clear" w:pos="420"/>
        </w:tabs>
        <w:autoSpaceDE w:val="0"/>
        <w:autoSpaceDN w:val="0"/>
        <w:spacing w:line="360" w:lineRule="auto"/>
        <w:ind w:left="426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填写护理不良事件报告表，报护理部质控科。</w:t>
      </w:r>
    </w:p>
    <w:p>
      <w:pPr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sz w:val="24"/>
          <w:szCs w:val="24"/>
        </w:rPr>
        <w:t>流程</w:t>
      </w:r>
      <w:r>
        <w:rPr>
          <w:rFonts w:hint="eastAsia" w:ascii="宋体" w:hAnsi="宋体" w:cs="宋体"/>
          <w:bCs/>
          <w:sz w:val="24"/>
          <w:szCs w:val="24"/>
        </w:rPr>
        <w:t>】</w:t>
      </w:r>
    </w:p>
    <w:p>
      <w:pPr>
        <w:spacing w:line="360" w:lineRule="auto"/>
        <w:rPr>
          <w:rFonts w:ascii="宋体" w:cs="黑体"/>
          <w:sz w:val="24"/>
          <w:szCs w:val="24"/>
        </w:rPr>
      </w:pPr>
    </w:p>
    <w:p>
      <w:pPr>
        <w:jc w:val="center"/>
        <w:textAlignment w:val="center"/>
        <w:rPr>
          <w:rFonts w:ascii="黑体" w:hAnsi="黑体" w:eastAsia="黑体" w:cs="黑体"/>
          <w:b/>
          <w:bCs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904490" cy="5032375"/>
                <wp:effectExtent l="5080" t="5080" r="5080" b="10795"/>
                <wp:wrapNone/>
                <wp:docPr id="18" name="Group 1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490" cy="5032375"/>
                          <a:chOff x="0" y="0"/>
                          <a:chExt cx="4575" cy="7925"/>
                        </a:xfrm>
                      </wpg:grpSpPr>
                      <wps:wsp>
                        <wps:cNvPr id="1" name="Text Box 1754"/>
                        <wps:cNvSpPr txBox="1"/>
                        <wps:spPr>
                          <a:xfrm>
                            <a:off x="0" y="0"/>
                            <a:ext cx="4575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发生患者突然猝死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Text Box 1755"/>
                        <wps:cNvSpPr txBox="1"/>
                        <wps:spPr>
                          <a:xfrm>
                            <a:off x="0" y="948"/>
                            <a:ext cx="4575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立即就地抢救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Text Box 1756"/>
                        <wps:cNvSpPr txBox="1"/>
                        <wps:spPr>
                          <a:xfrm>
                            <a:off x="0" y="1889"/>
                            <a:ext cx="4575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通知医生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Text Box 1757"/>
                        <wps:cNvSpPr txBox="1"/>
                        <wps:spPr>
                          <a:xfrm>
                            <a:off x="0" y="2813"/>
                            <a:ext cx="4575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抢救时保护同室患者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Text Box 1758"/>
                        <wps:cNvSpPr txBox="1"/>
                        <wps:spPr>
                          <a:xfrm>
                            <a:off x="0" y="3726"/>
                            <a:ext cx="4575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遵医嘱用药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Text Box 1759"/>
                        <wps:cNvSpPr txBox="1"/>
                        <wps:spPr>
                          <a:xfrm>
                            <a:off x="0" y="4651"/>
                            <a:ext cx="4575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告知安抚家属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Text Box 1760"/>
                        <wps:cNvSpPr txBox="1"/>
                        <wps:spPr>
                          <a:xfrm>
                            <a:off x="0" y="5588"/>
                            <a:ext cx="4575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记录抢救过程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Text Box 1761"/>
                        <wps:cNvSpPr txBox="1"/>
                        <wps:spPr>
                          <a:xfrm>
                            <a:off x="0" y="6526"/>
                            <a:ext cx="4575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填写护理不良事件报告表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Text Box 1762"/>
                        <wps:cNvSpPr txBox="1"/>
                        <wps:spPr>
                          <a:xfrm>
                            <a:off x="0" y="7451"/>
                            <a:ext cx="4575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报护理部质控科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箭头 2505"/>
                        <wps:cNvSpPr/>
                        <wps:spPr>
                          <a:xfrm>
                            <a:off x="2287" y="488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箭头 2505"/>
                        <wps:cNvSpPr/>
                        <wps:spPr>
                          <a:xfrm>
                            <a:off x="2287" y="1429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箭头 2505"/>
                        <wps:cNvSpPr/>
                        <wps:spPr>
                          <a:xfrm>
                            <a:off x="2287" y="2366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箭头 2505"/>
                        <wps:cNvSpPr/>
                        <wps:spPr>
                          <a:xfrm>
                            <a:off x="2287" y="3291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箭头 2505"/>
                        <wps:cNvSpPr/>
                        <wps:spPr>
                          <a:xfrm>
                            <a:off x="2287" y="4204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箭头 2505"/>
                        <wps:cNvSpPr/>
                        <wps:spPr>
                          <a:xfrm>
                            <a:off x="2287" y="5128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箭头 2505"/>
                        <wps:cNvSpPr/>
                        <wps:spPr>
                          <a:xfrm>
                            <a:off x="2287" y="6066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箭头 2505"/>
                        <wps:cNvSpPr/>
                        <wps:spPr>
                          <a:xfrm>
                            <a:off x="2287" y="7016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53" o:spid="_x0000_s1026" o:spt="203" style="position:absolute;left:0pt;margin-left:90pt;margin-top:7.8pt;height:396.25pt;width:228.7pt;z-index:251759616;mso-width-relative:page;mso-height-relative:page;" coordsize="4575,7925" o:gfxdata="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LAmhp9oAAAAKAQAADwAAAAAAAAABACAAAAAiAAAAZHJzL2Rvd25yZXYueG1sUEsBAhQAFAAA&#10;AAgAh07iQKPmJtS1AwAAACgAAA4AAAAAAAAAAQAgAAAAKQEAAGRycy9lMm9Eb2MueG1sUEsFBgAA&#10;AAAGAAYAWQEAAFAHAAAAAA==&#10;">
                <o:lock v:ext="edit" grouping="f" rotation="f" text="f" aspectratio="f"/>
                <v:shape id="Text Box 1754" o:spid="_x0000_s1026" o:spt="202" type="#_x0000_t202" style="position:absolute;left:0;top:0;height:474;width:4575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发生患者突然猝死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755" o:spid="_x0000_s1026" o:spt="202" type="#_x0000_t202" style="position:absolute;left:0;top:948;height:474;width:4575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立即就地抢救</w:t>
                        </w:r>
                      </w:p>
                    </w:txbxContent>
                  </v:textbox>
                </v:shape>
                <v:shape id="Text Box 1756" o:spid="_x0000_s1026" o:spt="202" type="#_x0000_t202" style="position:absolute;left:0;top:1889;height:474;width:4575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通知医生</w:t>
                        </w:r>
                      </w:p>
                    </w:txbxContent>
                  </v:textbox>
                </v:shape>
                <v:shape id="Text Box 1757" o:spid="_x0000_s1026" o:spt="202" type="#_x0000_t202" style="position:absolute;left:0;top:2813;height:474;width:4575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抢救时保护同室患者</w:t>
                        </w:r>
                      </w:p>
                    </w:txbxContent>
                  </v:textbox>
                </v:shape>
                <v:shape id="Text Box 1758" o:spid="_x0000_s1026" o:spt="202" type="#_x0000_t202" style="position:absolute;left:0;top:3726;height:474;width:457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遵医嘱用药</w:t>
                        </w:r>
                      </w:p>
                    </w:txbxContent>
                  </v:textbox>
                </v:shape>
                <v:shape id="Text Box 1759" o:spid="_x0000_s1026" o:spt="202" type="#_x0000_t202" style="position:absolute;left:0;top:4651;height:474;width:4575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告知安抚家属</w:t>
                        </w:r>
                      </w:p>
                    </w:txbxContent>
                  </v:textbox>
                </v:shape>
                <v:shape id="Text Box 1760" o:spid="_x0000_s1026" o:spt="202" type="#_x0000_t202" style="position:absolute;left:0;top:5588;height:474;width:4575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记录抢救过程</w:t>
                        </w:r>
                      </w:p>
                    </w:txbxContent>
                  </v:textbox>
                </v:shape>
                <v:shape id="Text Box 1761" o:spid="_x0000_s1026" o:spt="202" type="#_x0000_t202" style="position:absolute;left:0;top:6526;height:474;width:4575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填写护理不良事件报告表</w:t>
                        </w:r>
                      </w:p>
                    </w:txbxContent>
                  </v:textbox>
                </v:shape>
                <v:shape id="Text Box 1762" o:spid="_x0000_s1026" o:spt="202" type="#_x0000_t202" style="position:absolute;left:0;top:7451;height:474;width:4575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报护理部质控科</w:t>
                        </w:r>
                      </w:p>
                    </w:txbxContent>
                  </v:textbox>
                </v:shape>
                <v:line id="箭头 2505" o:spid="_x0000_s1026" o:spt="20" style="position:absolute;left:2287;top:488;height:454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箭头 2505" o:spid="_x0000_s1026" o:spt="20" style="position:absolute;left:2287;top:1429;height:454;width:1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箭头 2505" o:spid="_x0000_s1026" o:spt="20" style="position:absolute;left:2287;top:2366;height:454;width:1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箭头 2505" o:spid="_x0000_s1026" o:spt="20" style="position:absolute;left:2287;top:3291;height:454;width:1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箭头 2505" o:spid="_x0000_s1026" o:spt="20" style="position:absolute;left:2287;top:4204;height:454;width:1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箭头 2505" o:spid="_x0000_s1026" o:spt="20" style="position:absolute;left:2287;top:5128;height:454;width:1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箭头 2505" o:spid="_x0000_s1026" o:spt="20" style="position:absolute;left:2287;top:6066;height:454;width:1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箭头 2505" o:spid="_x0000_s1026" o:spt="20" style="position:absolute;left:2287;top:7016;height:454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rPr>
          <w:rFonts w:ascii="黑体" w:hAnsi="黑体" w:eastAsia="黑体" w:cs="黑体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 w:chapStyle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isLgl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color w:val="auto"/>
      </w:rPr>
    </w:lvl>
    <w:lvl w:ilvl="2" w:tentative="0">
      <w:start w:val="1"/>
      <w:numFmt w:val="decimal"/>
      <w:lvlText w:val="11.%3.%2"/>
      <w:lvlJc w:val="left"/>
      <w:pPr>
        <w:tabs>
          <w:tab w:val="left" w:pos="420"/>
        </w:tabs>
        <w:ind w:left="420" w:hanging="420"/>
      </w:pPr>
      <w:rPr>
        <w:rFonts w:hint="default" w:cs="Times New Roman"/>
        <w:color w:val="auto"/>
      </w:rPr>
    </w:lvl>
    <w:lvl w:ilvl="3" w:tentative="0">
      <w:start w:val="11"/>
      <w:numFmt w:val="decimal"/>
      <w:suff w:val="nothing"/>
      <w:lvlText w:val="%4."/>
      <w:lvlJc w:val="left"/>
      <w:rPr>
        <w:rFonts w:hint="default" w:ascii="Times New Roman" w:hAnsi="Times New Roman" w:cs="Times New Roman"/>
      </w:rPr>
    </w:lvl>
    <w:lvl w:ilvl="4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01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2017-11-13T08:45:30Z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