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widowControl/>
        <w:spacing w:line="7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遵义医学院附属口腔医院</w:t>
      </w:r>
    </w:p>
    <w:p>
      <w:pPr>
        <w:widowControl/>
        <w:spacing w:line="700" w:lineRule="exact"/>
        <w:jc w:val="center"/>
        <w:rPr>
          <w:rFonts w:hint="eastAsia" w:ascii="宋体" w:hAnsi="宋体" w:cs="宋体"/>
          <w:b/>
          <w:color w:val="000000"/>
          <w:kern w:val="0"/>
          <w:sz w:val="44"/>
          <w:szCs w:val="44"/>
        </w:rPr>
      </w:pPr>
      <w:r>
        <w:rPr>
          <w:rFonts w:hint="eastAsia" w:ascii="宋体" w:hAnsi="宋体" w:cs="宋体"/>
          <w:b/>
          <w:color w:val="000000"/>
          <w:kern w:val="0"/>
          <w:sz w:val="44"/>
          <w:szCs w:val="44"/>
        </w:rPr>
        <w:t>新技术、新项目疗效的分析评价程序</w:t>
      </w:r>
    </w:p>
    <w:bookmarkEnd w:id="0"/>
    <w:p>
      <w:pPr>
        <w:widowControl/>
        <w:spacing w:before="156" w:beforeLines="50"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对于新技术、新疗法，一经开展即应完善对疗效的评价分析，不断总结经验，改正不足，使其更加完善。 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一、认真记录病历资料，随访观察疗效。 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二、定期总结病历，与常规操作进行比较。 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三、检索文献、查阅资料，与其他医院进行比较。 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四、年终将本年度开展的双新病例进行分析总结上报。 </w:t>
      </w:r>
    </w:p>
    <w:p>
      <w:pPr>
        <w:widowControl/>
        <w:spacing w:line="700" w:lineRule="exact"/>
        <w:ind w:firstLine="640" w:firstLine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 xml:space="preserve">五、根据开展情况写出报告或文章。 </w:t>
      </w:r>
    </w:p>
    <w:p>
      <w:pPr>
        <w:widowControl/>
        <w:spacing w:line="700" w:lineRule="exac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康简标题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207733"/>
    <w:rsid w:val="6F20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2017-12-26T06:54:00Z</dcterms:created>
  <dc:creator>包子de糖</dc:creator>
  <cp:lastModifiedBy>包子de糖</cp:lastModifiedBy>
  <dcterms:modified xsi:type="dcterms:W3CDTF">2017-12-26T06:55:25Z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